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2C8" w:rsidRPr="00AE063D" w:rsidRDefault="00F112C8" w:rsidP="00F112C8">
      <w:pPr>
        <w:pStyle w:val="Default"/>
        <w:jc w:val="both"/>
        <w:rPr>
          <w:rFonts w:ascii="Times New Roman" w:hAnsi="Times New Roman" w:cs="Times New Roman"/>
          <w:b/>
          <w:caps/>
        </w:rPr>
      </w:pPr>
      <w:r>
        <w:rPr>
          <w:rFonts w:ascii="Times New Roman" w:hAnsi="Times New Roman" w:cs="Times New Roman"/>
          <w:b/>
          <w:bCs/>
          <w:iCs/>
          <w:caps/>
        </w:rPr>
        <w:t xml:space="preserve">GARA </w:t>
      </w:r>
      <w:r w:rsidRPr="00AE063D">
        <w:rPr>
          <w:rFonts w:ascii="Times New Roman" w:hAnsi="Times New Roman" w:cs="Times New Roman"/>
          <w:b/>
          <w:bCs/>
          <w:iCs/>
          <w:caps/>
        </w:rPr>
        <w:t xml:space="preserve">per la assegnazione in concessione </w:t>
      </w:r>
      <w:proofErr w:type="spellStart"/>
      <w:r w:rsidRPr="00C3259D">
        <w:rPr>
          <w:rFonts w:ascii="Times New Roman" w:hAnsi="Times New Roman" w:cs="Times New Roman"/>
          <w:b/>
          <w:bCs/>
          <w:iCs/>
          <w:caps/>
        </w:rPr>
        <w:t>DI</w:t>
      </w:r>
      <w:proofErr w:type="spellEnd"/>
      <w:r w:rsidRPr="00C3259D">
        <w:rPr>
          <w:rFonts w:ascii="Times New Roman" w:hAnsi="Times New Roman" w:cs="Times New Roman"/>
          <w:b/>
          <w:bCs/>
          <w:iCs/>
          <w:caps/>
        </w:rPr>
        <w:t xml:space="preserve"> VALORIZZAZIONE</w:t>
      </w:r>
      <w:r>
        <w:rPr>
          <w:rFonts w:ascii="Times New Roman" w:hAnsi="Times New Roman" w:cs="Times New Roman"/>
          <w:b/>
          <w:bCs/>
          <w:iCs/>
          <w:caps/>
        </w:rPr>
        <w:t xml:space="preserve"> </w:t>
      </w:r>
      <w:r w:rsidRPr="00AE063D">
        <w:rPr>
          <w:rFonts w:ascii="Times New Roman" w:hAnsi="Times New Roman" w:cs="Times New Roman"/>
          <w:b/>
          <w:bCs/>
          <w:iCs/>
          <w:caps/>
        </w:rPr>
        <w:t xml:space="preserve">del </w:t>
      </w:r>
      <w:r w:rsidRPr="00AE063D">
        <w:rPr>
          <w:rFonts w:ascii="Times New Roman" w:eastAsia="Times New Roman" w:hAnsi="Times New Roman" w:cs="Times New Roman"/>
          <w:b/>
          <w:caps/>
          <w:lang w:eastAsia="it-IT"/>
        </w:rPr>
        <w:t xml:space="preserve">piano superiore del Mercato Orientale </w:t>
      </w:r>
      <w:proofErr w:type="spellStart"/>
      <w:r w:rsidRPr="00AE063D">
        <w:rPr>
          <w:rFonts w:ascii="Times New Roman" w:eastAsia="Times New Roman" w:hAnsi="Times New Roman" w:cs="Times New Roman"/>
          <w:b/>
          <w:caps/>
          <w:lang w:eastAsia="it-IT"/>
        </w:rPr>
        <w:t>di</w:t>
      </w:r>
      <w:proofErr w:type="spellEnd"/>
      <w:r w:rsidRPr="00AE063D">
        <w:rPr>
          <w:rFonts w:ascii="Times New Roman" w:eastAsia="Times New Roman" w:hAnsi="Times New Roman" w:cs="Times New Roman"/>
          <w:b/>
          <w:caps/>
          <w:lang w:eastAsia="it-IT"/>
        </w:rPr>
        <w:t xml:space="preserve"> Genova</w:t>
      </w:r>
      <w:r w:rsidRPr="00AE063D">
        <w:rPr>
          <w:rFonts w:ascii="Times New Roman" w:hAnsi="Times New Roman" w:cs="Times New Roman"/>
          <w:b/>
          <w:bCs/>
          <w:iCs/>
          <w:caps/>
        </w:rPr>
        <w:t xml:space="preserve"> </w:t>
      </w:r>
    </w:p>
    <w:p w:rsidR="00582BC8" w:rsidRDefault="00582BC8" w:rsidP="00C1500A">
      <w:pPr>
        <w:jc w:val="both"/>
        <w:rPr>
          <w:b/>
          <w:sz w:val="24"/>
          <w:szCs w:val="24"/>
        </w:rPr>
      </w:pPr>
    </w:p>
    <w:p w:rsidR="00582BC8" w:rsidRDefault="00F112C8" w:rsidP="00F112C8">
      <w:pPr>
        <w:jc w:val="center"/>
        <w:rPr>
          <w:b/>
          <w:sz w:val="24"/>
          <w:szCs w:val="24"/>
        </w:rPr>
      </w:pPr>
      <w:r>
        <w:rPr>
          <w:b/>
          <w:sz w:val="24"/>
          <w:szCs w:val="24"/>
        </w:rPr>
        <w:t>Risposte a quesiti pervenuti</w:t>
      </w:r>
    </w:p>
    <w:p w:rsidR="00C1500A" w:rsidRPr="005E7907" w:rsidRDefault="00582BC8" w:rsidP="00C1500A">
      <w:pPr>
        <w:jc w:val="both"/>
        <w:rPr>
          <w:rFonts w:ascii="Times New Roman" w:hAnsi="Times New Roman" w:cs="Times New Roman"/>
          <w:b/>
          <w:sz w:val="24"/>
          <w:szCs w:val="24"/>
        </w:rPr>
      </w:pPr>
      <w:r w:rsidRPr="005E7907">
        <w:rPr>
          <w:rFonts w:ascii="Times New Roman" w:hAnsi="Times New Roman" w:cs="Times New Roman"/>
          <w:b/>
          <w:sz w:val="24"/>
          <w:szCs w:val="24"/>
        </w:rPr>
        <w:t>QUESITO</w:t>
      </w:r>
      <w:r w:rsidR="005E7907" w:rsidRPr="005E7907">
        <w:rPr>
          <w:rFonts w:ascii="Times New Roman" w:hAnsi="Times New Roman" w:cs="Times New Roman"/>
          <w:b/>
          <w:sz w:val="24"/>
          <w:szCs w:val="24"/>
        </w:rPr>
        <w:t xml:space="preserve"> n°1</w:t>
      </w:r>
    </w:p>
    <w:p w:rsidR="00C1500A" w:rsidRPr="005E7907" w:rsidRDefault="00582BC8" w:rsidP="00C1500A">
      <w:pPr>
        <w:jc w:val="both"/>
        <w:rPr>
          <w:rFonts w:ascii="Times New Roman" w:hAnsi="Times New Roman" w:cs="Times New Roman"/>
          <w:sz w:val="24"/>
          <w:szCs w:val="24"/>
        </w:rPr>
      </w:pPr>
      <w:r w:rsidRPr="005E7907">
        <w:rPr>
          <w:rFonts w:ascii="Times New Roman" w:hAnsi="Times New Roman" w:cs="Times New Roman"/>
          <w:sz w:val="24"/>
          <w:szCs w:val="24"/>
        </w:rPr>
        <w:t>N</w:t>
      </w:r>
      <w:r w:rsidR="00C1500A" w:rsidRPr="005E7907">
        <w:rPr>
          <w:rFonts w:ascii="Times New Roman" w:hAnsi="Times New Roman" w:cs="Times New Roman"/>
          <w:sz w:val="24"/>
          <w:szCs w:val="24"/>
        </w:rPr>
        <w:t>el caso di partecipazione al bando di una nuova società</w:t>
      </w:r>
      <w:r w:rsidRPr="005E7907">
        <w:rPr>
          <w:rFonts w:ascii="Times New Roman" w:hAnsi="Times New Roman" w:cs="Times New Roman"/>
          <w:sz w:val="24"/>
          <w:szCs w:val="24"/>
        </w:rPr>
        <w:t>,</w:t>
      </w:r>
      <w:r w:rsidR="00C1500A" w:rsidRPr="005E7907">
        <w:rPr>
          <w:rFonts w:ascii="Times New Roman" w:hAnsi="Times New Roman" w:cs="Times New Roman"/>
          <w:sz w:val="24"/>
          <w:szCs w:val="24"/>
        </w:rPr>
        <w:t xml:space="preserve"> ad esempio una s.r.l. composta da quattro soci (persone fisiche) appena costituita, </w:t>
      </w:r>
      <w:r w:rsidRPr="005E7907">
        <w:rPr>
          <w:rFonts w:ascii="Times New Roman" w:hAnsi="Times New Roman" w:cs="Times New Roman"/>
          <w:sz w:val="24"/>
          <w:szCs w:val="24"/>
        </w:rPr>
        <w:t>(prima della scadenza dei termini per la presentazione della domanda di partecipazione al bando)</w:t>
      </w:r>
      <w:r w:rsidR="00C1500A" w:rsidRPr="005E7907">
        <w:rPr>
          <w:rFonts w:ascii="Times New Roman" w:hAnsi="Times New Roman" w:cs="Times New Roman"/>
          <w:sz w:val="24"/>
          <w:szCs w:val="24"/>
        </w:rPr>
        <w:t>, e quindi priva di un’anzianità triennale dei bilanci tale da richiedere le referenze bancarie ai due istituti di credito, in alternativa possono avere valenza le referenze che gli istituti rilascerebbero ai singoli soci come persone fisiche?</w:t>
      </w:r>
    </w:p>
    <w:p w:rsidR="00F870D6" w:rsidRPr="005E7907" w:rsidRDefault="00F870D6" w:rsidP="00C1500A">
      <w:pPr>
        <w:jc w:val="both"/>
        <w:rPr>
          <w:rFonts w:ascii="Times New Roman" w:hAnsi="Times New Roman" w:cs="Times New Roman"/>
          <w:b/>
          <w:sz w:val="24"/>
          <w:szCs w:val="24"/>
        </w:rPr>
      </w:pPr>
      <w:r w:rsidRPr="005E7907">
        <w:rPr>
          <w:rFonts w:ascii="Times New Roman" w:hAnsi="Times New Roman" w:cs="Times New Roman"/>
          <w:b/>
          <w:sz w:val="24"/>
          <w:szCs w:val="24"/>
        </w:rPr>
        <w:t>RISPOSTA</w:t>
      </w:r>
    </w:p>
    <w:p w:rsidR="00F870D6" w:rsidRPr="005E7907" w:rsidRDefault="00DF6A20" w:rsidP="00C1500A">
      <w:pPr>
        <w:jc w:val="both"/>
        <w:rPr>
          <w:rFonts w:ascii="Times New Roman" w:hAnsi="Times New Roman" w:cs="Times New Roman"/>
          <w:sz w:val="24"/>
          <w:szCs w:val="24"/>
        </w:rPr>
      </w:pPr>
      <w:r w:rsidRPr="005E7907">
        <w:rPr>
          <w:rFonts w:ascii="Times New Roman" w:hAnsi="Times New Roman" w:cs="Times New Roman"/>
          <w:sz w:val="24"/>
          <w:szCs w:val="24"/>
        </w:rPr>
        <w:t>Al quesito si risponde affermativamente per cui, c</w:t>
      </w:r>
      <w:r w:rsidR="003A0832" w:rsidRPr="005E7907">
        <w:rPr>
          <w:rFonts w:ascii="Times New Roman" w:hAnsi="Times New Roman" w:cs="Times New Roman"/>
          <w:sz w:val="24"/>
          <w:szCs w:val="24"/>
        </w:rPr>
        <w:t>on riferimento al caso di partecipazione al bando di una s.r.l. di recente costituzione, anche al fine di salvaguardare l'interesse pubblico ad avere il più ampio num</w:t>
      </w:r>
      <w:r w:rsidRPr="005E7907">
        <w:rPr>
          <w:rFonts w:ascii="Times New Roman" w:hAnsi="Times New Roman" w:cs="Times New Roman"/>
          <w:sz w:val="24"/>
          <w:szCs w:val="24"/>
        </w:rPr>
        <w:t xml:space="preserve">ero di potenziali partecipanti e come si evince dall’art.4, punto A.4. del bando di gara, </w:t>
      </w:r>
      <w:r w:rsidR="003A0832" w:rsidRPr="005E7907">
        <w:rPr>
          <w:rFonts w:ascii="Times New Roman" w:hAnsi="Times New Roman" w:cs="Times New Roman"/>
          <w:sz w:val="24"/>
          <w:szCs w:val="24"/>
        </w:rPr>
        <w:t xml:space="preserve">potranno essere prodotte </w:t>
      </w:r>
      <w:r w:rsidR="003A0832" w:rsidRPr="005E7907">
        <w:rPr>
          <w:rFonts w:ascii="Times New Roman" w:hAnsi="Times New Roman" w:cs="Times New Roman"/>
          <w:sz w:val="24"/>
          <w:szCs w:val="24"/>
          <w:u w:val="single"/>
        </w:rPr>
        <w:t>idonee referenze bancarie</w:t>
      </w:r>
      <w:r w:rsidR="003A0832" w:rsidRPr="005E7907">
        <w:rPr>
          <w:rFonts w:ascii="Times New Roman" w:hAnsi="Times New Roman" w:cs="Times New Roman"/>
          <w:sz w:val="24"/>
          <w:szCs w:val="24"/>
        </w:rPr>
        <w:t xml:space="preserve"> riguardanti </w:t>
      </w:r>
      <w:r w:rsidR="003A0832" w:rsidRPr="005E7907">
        <w:rPr>
          <w:rFonts w:ascii="Times New Roman" w:hAnsi="Times New Roman" w:cs="Times New Roman"/>
          <w:sz w:val="24"/>
          <w:szCs w:val="24"/>
          <w:u w:val="single"/>
        </w:rPr>
        <w:t>tutti i singoli soci</w:t>
      </w:r>
      <w:r w:rsidRPr="005E7907">
        <w:rPr>
          <w:rFonts w:ascii="Times New Roman" w:hAnsi="Times New Roman" w:cs="Times New Roman"/>
          <w:sz w:val="24"/>
          <w:szCs w:val="24"/>
        </w:rPr>
        <w:t>.</w:t>
      </w:r>
    </w:p>
    <w:p w:rsidR="005E7907" w:rsidRPr="005E7907" w:rsidRDefault="005E7907" w:rsidP="00C1500A">
      <w:pPr>
        <w:jc w:val="both"/>
        <w:rPr>
          <w:rFonts w:ascii="Times New Roman" w:hAnsi="Times New Roman" w:cs="Times New Roman"/>
          <w:sz w:val="24"/>
          <w:szCs w:val="24"/>
        </w:rPr>
      </w:pPr>
    </w:p>
    <w:p w:rsidR="005E7907" w:rsidRPr="005E7907" w:rsidRDefault="005E7907" w:rsidP="005E7907">
      <w:pPr>
        <w:rPr>
          <w:rFonts w:ascii="Times New Roman" w:hAnsi="Times New Roman" w:cs="Times New Roman"/>
          <w:b/>
          <w:sz w:val="24"/>
          <w:szCs w:val="24"/>
        </w:rPr>
      </w:pPr>
      <w:r w:rsidRPr="005E7907">
        <w:rPr>
          <w:rFonts w:ascii="Times New Roman" w:hAnsi="Times New Roman" w:cs="Times New Roman"/>
          <w:b/>
          <w:sz w:val="24"/>
          <w:szCs w:val="24"/>
        </w:rPr>
        <w:t>QUESITO N°2</w:t>
      </w:r>
    </w:p>
    <w:p w:rsidR="005E7907" w:rsidRPr="005E7907" w:rsidRDefault="005E7907" w:rsidP="005E7907">
      <w:pPr>
        <w:jc w:val="both"/>
        <w:rPr>
          <w:rFonts w:ascii="Times New Roman" w:hAnsi="Times New Roman" w:cs="Times New Roman"/>
          <w:sz w:val="24"/>
          <w:szCs w:val="24"/>
        </w:rPr>
      </w:pPr>
      <w:r w:rsidRPr="005E7907">
        <w:rPr>
          <w:rFonts w:ascii="Times New Roman" w:hAnsi="Times New Roman" w:cs="Times New Roman"/>
          <w:sz w:val="24"/>
          <w:szCs w:val="24"/>
        </w:rPr>
        <w:t>In riferimento all’Allegato 5 - punto B) all’interno della documentazione a corredo della proposta progettuale, nello stato di fatto al punto b) si chiede la “tavola delle modalità di intervento”.  Che tipo di elaborati e contenuti sono richiesti per questa tavola? Cosa si intende per modalità di intervento?</w:t>
      </w:r>
    </w:p>
    <w:p w:rsidR="005E7907" w:rsidRPr="005E7907" w:rsidRDefault="005E7907" w:rsidP="005E7907">
      <w:pPr>
        <w:rPr>
          <w:rFonts w:ascii="Times New Roman" w:hAnsi="Times New Roman" w:cs="Times New Roman"/>
          <w:b/>
          <w:sz w:val="24"/>
          <w:szCs w:val="24"/>
        </w:rPr>
      </w:pPr>
      <w:r w:rsidRPr="005E7907">
        <w:rPr>
          <w:rFonts w:ascii="Times New Roman" w:hAnsi="Times New Roman" w:cs="Times New Roman"/>
          <w:b/>
          <w:sz w:val="24"/>
          <w:szCs w:val="24"/>
        </w:rPr>
        <w:t>RISPOSTA</w:t>
      </w:r>
    </w:p>
    <w:p w:rsidR="005E7907" w:rsidRPr="005E7907" w:rsidRDefault="005E7907" w:rsidP="005E7907">
      <w:pPr>
        <w:jc w:val="both"/>
        <w:rPr>
          <w:rFonts w:ascii="Times New Roman" w:hAnsi="Times New Roman" w:cs="Times New Roman"/>
          <w:sz w:val="24"/>
          <w:szCs w:val="24"/>
        </w:rPr>
      </w:pPr>
      <w:r w:rsidRPr="005E7907">
        <w:rPr>
          <w:rFonts w:ascii="Times New Roman" w:hAnsi="Times New Roman" w:cs="Times New Roman"/>
          <w:sz w:val="24"/>
          <w:szCs w:val="24"/>
        </w:rPr>
        <w:t xml:space="preserve">Gli elaborati e contenuti richiesti consistono in schemi relativi ad accessibilità, caratteri morfologici e </w:t>
      </w:r>
      <w:proofErr w:type="spellStart"/>
      <w:r w:rsidRPr="005E7907">
        <w:rPr>
          <w:rFonts w:ascii="Times New Roman" w:hAnsi="Times New Roman" w:cs="Times New Roman"/>
          <w:sz w:val="24"/>
          <w:szCs w:val="24"/>
        </w:rPr>
        <w:t>tipologico-distributivi</w:t>
      </w:r>
      <w:proofErr w:type="spellEnd"/>
      <w:r w:rsidRPr="005E7907">
        <w:rPr>
          <w:rFonts w:ascii="Times New Roman" w:hAnsi="Times New Roman" w:cs="Times New Roman"/>
          <w:sz w:val="24"/>
          <w:szCs w:val="24"/>
        </w:rPr>
        <w:t xml:space="preserve"> del bene, allo stato attuale, in opportuna scala metrica, con eventuale rilievo fotografico </w:t>
      </w:r>
      <w:proofErr w:type="spellStart"/>
      <w:r w:rsidRPr="005E7907">
        <w:rPr>
          <w:rFonts w:ascii="Times New Roman" w:hAnsi="Times New Roman" w:cs="Times New Roman"/>
          <w:sz w:val="24"/>
          <w:szCs w:val="24"/>
        </w:rPr>
        <w:t>interno-esterno</w:t>
      </w:r>
      <w:proofErr w:type="spellEnd"/>
      <w:r w:rsidRPr="005E7907">
        <w:rPr>
          <w:rFonts w:ascii="Times New Roman" w:hAnsi="Times New Roman" w:cs="Times New Roman"/>
          <w:sz w:val="24"/>
          <w:szCs w:val="24"/>
        </w:rPr>
        <w:t>, evidenziando, e in ciò si definiscono le “modalità di intervento”, le parti della struttura sulle quali verranno eseguiti gli interventi di riqualificazione dell’immobile. Questi ultimi saranno ovviamente rappresentati e dettagliati nei documenti di cui alla “</w:t>
      </w:r>
      <w:r w:rsidRPr="005E7907">
        <w:rPr>
          <w:rFonts w:ascii="Times New Roman" w:hAnsi="Times New Roman" w:cs="Times New Roman"/>
          <w:i/>
          <w:sz w:val="24"/>
          <w:szCs w:val="24"/>
        </w:rPr>
        <w:t>Ipotesi progettuale</w:t>
      </w:r>
      <w:r w:rsidRPr="005E7907">
        <w:rPr>
          <w:rFonts w:ascii="Times New Roman" w:hAnsi="Times New Roman" w:cs="Times New Roman"/>
          <w:sz w:val="24"/>
          <w:szCs w:val="24"/>
        </w:rPr>
        <w:t>” indicati sempre al paragrafo “B” dell’Allegato 5.</w:t>
      </w:r>
    </w:p>
    <w:p w:rsidR="005E7907" w:rsidRPr="003A0832" w:rsidRDefault="005E7907" w:rsidP="00C1500A">
      <w:pPr>
        <w:jc w:val="both"/>
        <w:rPr>
          <w:sz w:val="24"/>
          <w:szCs w:val="24"/>
        </w:rPr>
      </w:pPr>
    </w:p>
    <w:sectPr w:rsidR="005E7907" w:rsidRPr="003A0832" w:rsidSect="00C27F1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C1500A"/>
    <w:rsid w:val="000440E4"/>
    <w:rsid w:val="003A0832"/>
    <w:rsid w:val="004C7428"/>
    <w:rsid w:val="00582BC8"/>
    <w:rsid w:val="005E7907"/>
    <w:rsid w:val="00631D63"/>
    <w:rsid w:val="00AA4CE9"/>
    <w:rsid w:val="00B95F8E"/>
    <w:rsid w:val="00C1500A"/>
    <w:rsid w:val="00C27F1D"/>
    <w:rsid w:val="00C43C25"/>
    <w:rsid w:val="00DF6A20"/>
    <w:rsid w:val="00EB4A0A"/>
    <w:rsid w:val="00F112C8"/>
    <w:rsid w:val="00F870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7F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112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8012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289</Words>
  <Characters>1651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B566964</dc:creator>
  <cp:lastModifiedBy>B566964</cp:lastModifiedBy>
  <cp:revision>8</cp:revision>
  <cp:lastPrinted>2016-11-30T15:13:00Z</cp:lastPrinted>
  <dcterms:created xsi:type="dcterms:W3CDTF">2016-11-30T14:23:00Z</dcterms:created>
  <dcterms:modified xsi:type="dcterms:W3CDTF">2016-12-02T09:59:00Z</dcterms:modified>
</cp:coreProperties>
</file>