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8ED" w:rsidRDefault="005428ED" w:rsidP="006B080A">
      <w:pPr>
        <w:jc w:val="both"/>
        <w:rPr>
          <w:rFonts w:ascii="Arial" w:hAnsi="Arial" w:cs="Arial"/>
          <w:b/>
          <w:bCs/>
          <w:sz w:val="24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4"/>
          <w:szCs w:val="3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-147955</wp:posOffset>
            </wp:positionV>
            <wp:extent cx="1139825" cy="1134110"/>
            <wp:effectExtent l="0" t="0" r="3175" b="889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28ED" w:rsidRDefault="005428ED" w:rsidP="006B080A">
      <w:pPr>
        <w:jc w:val="both"/>
        <w:rPr>
          <w:rFonts w:ascii="Arial" w:hAnsi="Arial" w:cs="Arial"/>
          <w:b/>
          <w:bCs/>
          <w:sz w:val="24"/>
          <w:szCs w:val="32"/>
        </w:rPr>
      </w:pPr>
    </w:p>
    <w:p w:rsidR="006B080A" w:rsidRDefault="006B080A" w:rsidP="006B080A">
      <w:pPr>
        <w:jc w:val="both"/>
        <w:rPr>
          <w:rFonts w:ascii="Arial" w:hAnsi="Arial" w:cs="Arial"/>
          <w:b/>
          <w:bCs/>
          <w:sz w:val="24"/>
          <w:szCs w:val="32"/>
        </w:rPr>
      </w:pPr>
    </w:p>
    <w:p w:rsidR="005428ED" w:rsidRDefault="005428ED" w:rsidP="006B080A">
      <w:pPr>
        <w:jc w:val="both"/>
        <w:rPr>
          <w:rFonts w:ascii="Arial" w:hAnsi="Arial" w:cs="Arial"/>
          <w:b/>
          <w:bCs/>
          <w:sz w:val="24"/>
          <w:szCs w:val="32"/>
        </w:rPr>
      </w:pPr>
    </w:p>
    <w:p w:rsidR="00915440" w:rsidRPr="005428ED" w:rsidRDefault="006B080A" w:rsidP="006B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jc w:val="both"/>
        <w:rPr>
          <w:rFonts w:ascii="Arial" w:hAnsi="Arial" w:cs="Arial"/>
          <w:b/>
          <w:bCs/>
          <w:szCs w:val="32"/>
        </w:rPr>
      </w:pPr>
      <w:r w:rsidRPr="005428ED">
        <w:rPr>
          <w:rFonts w:ascii="Arial" w:hAnsi="Arial" w:cs="Arial"/>
          <w:b/>
          <w:bCs/>
          <w:szCs w:val="32"/>
        </w:rPr>
        <w:t xml:space="preserve">Avviso pubblico per la formulazione di manifestazioni di interesse volte alla elaborazione condivisa di un progetto da presentare al IV bando europeo dell'iniziativa </w:t>
      </w:r>
      <w:proofErr w:type="spellStart"/>
      <w:r w:rsidRPr="005428ED">
        <w:rPr>
          <w:rFonts w:ascii="Arial" w:hAnsi="Arial" w:cs="Arial"/>
          <w:b/>
          <w:bCs/>
          <w:szCs w:val="32"/>
        </w:rPr>
        <w:t>Urban</w:t>
      </w:r>
      <w:proofErr w:type="spellEnd"/>
      <w:r w:rsidRPr="005428ED">
        <w:rPr>
          <w:rFonts w:ascii="Arial" w:hAnsi="Arial" w:cs="Arial"/>
          <w:b/>
          <w:bCs/>
          <w:szCs w:val="32"/>
        </w:rPr>
        <w:t xml:space="preserve"> Innovative </w:t>
      </w:r>
      <w:proofErr w:type="spellStart"/>
      <w:r w:rsidRPr="005428ED">
        <w:rPr>
          <w:rFonts w:ascii="Arial" w:hAnsi="Arial" w:cs="Arial"/>
          <w:b/>
          <w:bCs/>
          <w:szCs w:val="32"/>
        </w:rPr>
        <w:t>Actions</w:t>
      </w:r>
      <w:proofErr w:type="spellEnd"/>
      <w:r w:rsidRPr="005428ED">
        <w:rPr>
          <w:rFonts w:ascii="Arial" w:hAnsi="Arial" w:cs="Arial"/>
          <w:b/>
          <w:bCs/>
          <w:szCs w:val="32"/>
        </w:rPr>
        <w:t xml:space="preserve"> (UIA) sulla linea “Sicurezza Urbana” e costituzione di PARTNERSHIP ai sensi dell’art. 8 del FESR regolamento UE n. 1301/2013</w:t>
      </w:r>
    </w:p>
    <w:p w:rsidR="006B080A" w:rsidRPr="006B080A" w:rsidRDefault="006B080A" w:rsidP="006B080A">
      <w:pPr>
        <w:jc w:val="center"/>
        <w:rPr>
          <w:rFonts w:ascii="Arial" w:hAnsi="Arial" w:cs="Arial"/>
          <w:b/>
          <w:smallCaps/>
        </w:rPr>
      </w:pPr>
      <w:r w:rsidRPr="006B080A">
        <w:rPr>
          <w:rFonts w:ascii="Arial" w:hAnsi="Arial" w:cs="Arial"/>
          <w:b/>
          <w:smallCaps/>
        </w:rPr>
        <w:t>Allegato B</w:t>
      </w:r>
    </w:p>
    <w:p w:rsidR="006B080A" w:rsidRPr="006B080A" w:rsidRDefault="006B080A" w:rsidP="006B080A">
      <w:pPr>
        <w:jc w:val="center"/>
        <w:rPr>
          <w:rFonts w:ascii="Arial" w:hAnsi="Arial" w:cs="Arial"/>
          <w:b/>
          <w:sz w:val="20"/>
        </w:rPr>
      </w:pPr>
      <w:r w:rsidRPr="006B080A">
        <w:rPr>
          <w:rFonts w:ascii="Arial" w:hAnsi="Arial" w:cs="Arial"/>
          <w:b/>
          <w:sz w:val="20"/>
        </w:rPr>
        <w:t>Elementi di valutazione e relativi punteggi</w:t>
      </w:r>
    </w:p>
    <w:tbl>
      <w:tblPr>
        <w:tblStyle w:val="Grigliatabella"/>
        <w:tblW w:w="9776" w:type="dxa"/>
        <w:tblLayout w:type="fixed"/>
        <w:tblLook w:val="04A0"/>
      </w:tblPr>
      <w:tblGrid>
        <w:gridCol w:w="1696"/>
        <w:gridCol w:w="993"/>
        <w:gridCol w:w="2976"/>
        <w:gridCol w:w="851"/>
        <w:gridCol w:w="1843"/>
        <w:gridCol w:w="1417"/>
      </w:tblGrid>
      <w:tr w:rsidR="00F13E0A" w:rsidRPr="00F13E0A" w:rsidTr="005428ED">
        <w:trPr>
          <w:cantSplit/>
          <w:trHeight w:val="1247"/>
        </w:trPr>
        <w:tc>
          <w:tcPr>
            <w:tcW w:w="1696" w:type="dxa"/>
            <w:tcMar>
              <w:top w:w="113" w:type="dxa"/>
              <w:bottom w:w="113" w:type="dxa"/>
            </w:tcMar>
            <w:vAlign w:val="center"/>
          </w:tcPr>
          <w:p w:rsidR="006B080A" w:rsidRPr="00F13E0A" w:rsidRDefault="00D402DF" w:rsidP="00D40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3E0A">
              <w:rPr>
                <w:rFonts w:ascii="Arial" w:hAnsi="Arial" w:cs="Arial"/>
                <w:b/>
                <w:sz w:val="20"/>
                <w:szCs w:val="20"/>
              </w:rPr>
              <w:t>CRITERI</w:t>
            </w:r>
          </w:p>
        </w:tc>
        <w:tc>
          <w:tcPr>
            <w:tcW w:w="993" w:type="dxa"/>
            <w:tcMar>
              <w:top w:w="113" w:type="dxa"/>
              <w:bottom w:w="113" w:type="dxa"/>
            </w:tcMar>
            <w:textDirection w:val="btLr"/>
            <w:vAlign w:val="center"/>
          </w:tcPr>
          <w:p w:rsidR="006B080A" w:rsidRPr="00F13E0A" w:rsidRDefault="00D402DF" w:rsidP="00D402D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3E0A">
              <w:rPr>
                <w:rFonts w:ascii="Arial" w:hAnsi="Arial" w:cs="Arial"/>
                <w:b/>
                <w:sz w:val="20"/>
                <w:szCs w:val="20"/>
              </w:rPr>
              <w:t>Punteggio tecnico massimo</w:t>
            </w:r>
          </w:p>
        </w:tc>
        <w:tc>
          <w:tcPr>
            <w:tcW w:w="2976" w:type="dxa"/>
            <w:tcMar>
              <w:top w:w="113" w:type="dxa"/>
              <w:bottom w:w="113" w:type="dxa"/>
            </w:tcMar>
            <w:vAlign w:val="center"/>
          </w:tcPr>
          <w:p w:rsidR="006B080A" w:rsidRPr="00F13E0A" w:rsidRDefault="00D402DF" w:rsidP="00D40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3E0A">
              <w:rPr>
                <w:rFonts w:ascii="Arial" w:hAnsi="Arial" w:cs="Arial"/>
                <w:b/>
                <w:sz w:val="20"/>
                <w:szCs w:val="20"/>
              </w:rPr>
              <w:t>ATTRIBUZIONE PUNTEGGIO</w:t>
            </w:r>
          </w:p>
        </w:tc>
        <w:tc>
          <w:tcPr>
            <w:tcW w:w="851" w:type="dxa"/>
            <w:tcMar>
              <w:top w:w="113" w:type="dxa"/>
              <w:bottom w:w="113" w:type="dxa"/>
            </w:tcMar>
            <w:textDirection w:val="btLr"/>
            <w:vAlign w:val="center"/>
          </w:tcPr>
          <w:p w:rsidR="006B080A" w:rsidRPr="00F13E0A" w:rsidRDefault="00D402DF" w:rsidP="00D402D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3E0A">
              <w:rPr>
                <w:rFonts w:ascii="Arial" w:hAnsi="Arial" w:cs="Arial"/>
                <w:b/>
                <w:sz w:val="20"/>
                <w:szCs w:val="20"/>
              </w:rPr>
              <w:t>Punteggio attribuito</w:t>
            </w:r>
          </w:p>
        </w:tc>
        <w:tc>
          <w:tcPr>
            <w:tcW w:w="1843" w:type="dxa"/>
            <w:tcMar>
              <w:top w:w="113" w:type="dxa"/>
              <w:bottom w:w="113" w:type="dxa"/>
            </w:tcMar>
            <w:vAlign w:val="center"/>
          </w:tcPr>
          <w:p w:rsidR="006B080A" w:rsidRPr="00F13E0A" w:rsidRDefault="00D402DF" w:rsidP="00D40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3E0A">
              <w:rPr>
                <w:rFonts w:ascii="Arial" w:hAnsi="Arial" w:cs="Arial"/>
                <w:b/>
                <w:sz w:val="20"/>
                <w:szCs w:val="20"/>
              </w:rPr>
              <w:t xml:space="preserve">METODO </w:t>
            </w:r>
            <w:proofErr w:type="spellStart"/>
            <w:r w:rsidRPr="00F13E0A">
              <w:rPr>
                <w:rFonts w:ascii="Arial" w:hAnsi="Arial" w:cs="Arial"/>
                <w:b/>
                <w:sz w:val="20"/>
                <w:szCs w:val="20"/>
              </w:rPr>
              <w:t>DI</w:t>
            </w:r>
            <w:proofErr w:type="spellEnd"/>
            <w:r w:rsidRPr="00F13E0A">
              <w:rPr>
                <w:rFonts w:ascii="Arial" w:hAnsi="Arial" w:cs="Arial"/>
                <w:b/>
                <w:sz w:val="20"/>
                <w:szCs w:val="20"/>
              </w:rPr>
              <w:t xml:space="preserve"> CALCOLO</w:t>
            </w:r>
          </w:p>
        </w:tc>
        <w:tc>
          <w:tcPr>
            <w:tcW w:w="1417" w:type="dxa"/>
            <w:tcMar>
              <w:top w:w="113" w:type="dxa"/>
              <w:bottom w:w="113" w:type="dxa"/>
            </w:tcMar>
            <w:vAlign w:val="center"/>
          </w:tcPr>
          <w:p w:rsidR="006B080A" w:rsidRPr="00F13E0A" w:rsidRDefault="00D402DF" w:rsidP="00D40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3E0A">
              <w:rPr>
                <w:rFonts w:ascii="Arial" w:hAnsi="Arial" w:cs="Arial"/>
                <w:b/>
                <w:sz w:val="20"/>
                <w:szCs w:val="20"/>
              </w:rPr>
              <w:t>RICHIAMI ALL’AVVISO PUBBLICO</w:t>
            </w:r>
          </w:p>
        </w:tc>
      </w:tr>
      <w:tr w:rsidR="00D402DF" w:rsidRPr="00F13E0A" w:rsidTr="00F13E0A">
        <w:trPr>
          <w:trHeight w:val="454"/>
        </w:trPr>
        <w:tc>
          <w:tcPr>
            <w:tcW w:w="1696" w:type="dxa"/>
            <w:vMerge w:val="restart"/>
            <w:tcMar>
              <w:top w:w="113" w:type="dxa"/>
              <w:bottom w:w="113" w:type="dxa"/>
            </w:tcMar>
            <w:vAlign w:val="center"/>
          </w:tcPr>
          <w:p w:rsidR="001412A7" w:rsidRPr="00F13E0A" w:rsidRDefault="001412A7" w:rsidP="00F13E0A">
            <w:pPr>
              <w:pStyle w:val="Paragrafoelenco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  <w:sz w:val="20"/>
                <w:szCs w:val="20"/>
              </w:rPr>
            </w:pPr>
            <w:r w:rsidRPr="00F13E0A">
              <w:rPr>
                <w:rFonts w:ascii="Arial" w:hAnsi="Arial" w:cs="Arial"/>
                <w:sz w:val="20"/>
                <w:szCs w:val="20"/>
              </w:rPr>
              <w:t>Capacità tecnica ed esperienza comprovata nell’ambito della proposta</w:t>
            </w:r>
          </w:p>
        </w:tc>
        <w:tc>
          <w:tcPr>
            <w:tcW w:w="993" w:type="dxa"/>
            <w:tcMar>
              <w:top w:w="113" w:type="dxa"/>
              <w:bottom w:w="113" w:type="dxa"/>
            </w:tcMar>
            <w:vAlign w:val="center"/>
          </w:tcPr>
          <w:p w:rsidR="00D402DF" w:rsidRPr="00F13E0A" w:rsidRDefault="00D402DF" w:rsidP="00D402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E0A">
              <w:rPr>
                <w:rFonts w:ascii="Arial" w:hAnsi="Arial" w:cs="Arial"/>
                <w:sz w:val="20"/>
                <w:szCs w:val="20"/>
              </w:rPr>
              <w:t>1</w:t>
            </w:r>
            <w:r w:rsidR="00F13E0A" w:rsidRPr="00F13E0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76" w:type="dxa"/>
            <w:tcMar>
              <w:top w:w="113" w:type="dxa"/>
              <w:bottom w:w="113" w:type="dxa"/>
            </w:tcMar>
            <w:vAlign w:val="center"/>
          </w:tcPr>
          <w:p w:rsidR="00D402DF" w:rsidRPr="00F13E0A" w:rsidRDefault="001412A7" w:rsidP="001412A7">
            <w:pPr>
              <w:rPr>
                <w:rFonts w:ascii="Arial" w:hAnsi="Arial" w:cs="Arial"/>
                <w:sz w:val="20"/>
                <w:szCs w:val="20"/>
              </w:rPr>
            </w:pPr>
            <w:r w:rsidRPr="00F13E0A">
              <w:rPr>
                <w:rFonts w:ascii="Arial" w:hAnsi="Arial" w:cs="Arial"/>
                <w:sz w:val="20"/>
                <w:szCs w:val="20"/>
              </w:rPr>
              <w:t>Valutazione della capacità tecnica di portare avanti le azioni proposte in una logica di efficacia ed efficienza</w:t>
            </w:r>
          </w:p>
        </w:tc>
        <w:tc>
          <w:tcPr>
            <w:tcW w:w="851" w:type="dxa"/>
            <w:tcMar>
              <w:top w:w="113" w:type="dxa"/>
              <w:bottom w:w="113" w:type="dxa"/>
            </w:tcMar>
            <w:vAlign w:val="center"/>
          </w:tcPr>
          <w:p w:rsidR="00D402DF" w:rsidRPr="00F13E0A" w:rsidRDefault="00D402DF" w:rsidP="00D402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13" w:type="dxa"/>
              <w:bottom w:w="113" w:type="dxa"/>
            </w:tcMar>
            <w:vAlign w:val="center"/>
          </w:tcPr>
          <w:p w:rsidR="00D402DF" w:rsidRPr="00F13E0A" w:rsidRDefault="001412A7" w:rsidP="001412A7">
            <w:pPr>
              <w:rPr>
                <w:rFonts w:ascii="Arial" w:hAnsi="Arial" w:cs="Arial"/>
                <w:sz w:val="20"/>
                <w:szCs w:val="20"/>
              </w:rPr>
            </w:pPr>
            <w:r w:rsidRPr="00F13E0A">
              <w:rPr>
                <w:rFonts w:ascii="Arial" w:hAnsi="Arial" w:cs="Arial"/>
                <w:sz w:val="20"/>
                <w:szCs w:val="20"/>
              </w:rPr>
              <w:t>Media dei punteggi attribuiti da ogni singolo Commissario</w:t>
            </w:r>
          </w:p>
        </w:tc>
        <w:tc>
          <w:tcPr>
            <w:tcW w:w="1417" w:type="dxa"/>
            <w:tcMar>
              <w:top w:w="113" w:type="dxa"/>
              <w:bottom w:w="113" w:type="dxa"/>
            </w:tcMar>
            <w:vAlign w:val="center"/>
          </w:tcPr>
          <w:p w:rsidR="00D402DF" w:rsidRPr="00F13E0A" w:rsidRDefault="00D402DF" w:rsidP="00D402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2DF" w:rsidRPr="00F13E0A" w:rsidTr="00F13E0A">
        <w:trPr>
          <w:trHeight w:val="454"/>
        </w:trPr>
        <w:tc>
          <w:tcPr>
            <w:tcW w:w="1696" w:type="dxa"/>
            <w:vMerge/>
            <w:tcMar>
              <w:top w:w="113" w:type="dxa"/>
              <w:bottom w:w="113" w:type="dxa"/>
            </w:tcMar>
            <w:vAlign w:val="center"/>
          </w:tcPr>
          <w:p w:rsidR="00D402DF" w:rsidRPr="00F13E0A" w:rsidRDefault="00D402DF" w:rsidP="00D402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113" w:type="dxa"/>
              <w:bottom w:w="113" w:type="dxa"/>
            </w:tcMar>
            <w:vAlign w:val="center"/>
          </w:tcPr>
          <w:p w:rsidR="00D402DF" w:rsidRPr="00F13E0A" w:rsidRDefault="00D402DF" w:rsidP="00D402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E0A">
              <w:rPr>
                <w:rFonts w:ascii="Arial" w:hAnsi="Arial" w:cs="Arial"/>
                <w:sz w:val="20"/>
                <w:szCs w:val="20"/>
              </w:rPr>
              <w:t>1</w:t>
            </w:r>
            <w:r w:rsidR="00F13E0A" w:rsidRPr="00F13E0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76" w:type="dxa"/>
            <w:tcMar>
              <w:top w:w="113" w:type="dxa"/>
              <w:bottom w:w="113" w:type="dxa"/>
            </w:tcMar>
            <w:vAlign w:val="center"/>
          </w:tcPr>
          <w:p w:rsidR="00D402DF" w:rsidRPr="00F13E0A" w:rsidRDefault="001412A7" w:rsidP="001412A7">
            <w:pPr>
              <w:rPr>
                <w:rFonts w:ascii="Arial" w:hAnsi="Arial" w:cs="Arial"/>
                <w:sz w:val="20"/>
                <w:szCs w:val="20"/>
              </w:rPr>
            </w:pPr>
            <w:r w:rsidRPr="00F13E0A">
              <w:rPr>
                <w:rFonts w:ascii="Arial" w:hAnsi="Arial" w:cs="Arial"/>
                <w:sz w:val="20"/>
                <w:szCs w:val="20"/>
              </w:rPr>
              <w:t xml:space="preserve">Valutazione dell’esperienza, almeno biennale, nella progettazione europea e nella realizzazione di azioni innovative in uno o più ambiti descritti nel punto </w:t>
            </w:r>
            <w:r w:rsidR="00CB6F7D">
              <w:rPr>
                <w:rFonts w:ascii="Arial" w:hAnsi="Arial" w:cs="Arial"/>
                <w:sz w:val="20"/>
                <w:szCs w:val="20"/>
              </w:rPr>
              <w:t>4</w:t>
            </w:r>
            <w:r w:rsidRPr="00F13E0A">
              <w:rPr>
                <w:rFonts w:ascii="Arial" w:hAnsi="Arial" w:cs="Arial"/>
                <w:sz w:val="20"/>
                <w:szCs w:val="20"/>
              </w:rPr>
              <w:t xml:space="preserve"> dell’Avviso</w:t>
            </w:r>
          </w:p>
        </w:tc>
        <w:tc>
          <w:tcPr>
            <w:tcW w:w="851" w:type="dxa"/>
            <w:tcMar>
              <w:top w:w="113" w:type="dxa"/>
              <w:bottom w:w="113" w:type="dxa"/>
            </w:tcMar>
            <w:vAlign w:val="center"/>
          </w:tcPr>
          <w:p w:rsidR="00D402DF" w:rsidRPr="00F13E0A" w:rsidRDefault="00D402DF" w:rsidP="00D402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13" w:type="dxa"/>
              <w:bottom w:w="113" w:type="dxa"/>
            </w:tcMar>
            <w:vAlign w:val="center"/>
          </w:tcPr>
          <w:p w:rsidR="00D402DF" w:rsidRPr="00F13E0A" w:rsidRDefault="001412A7" w:rsidP="001412A7">
            <w:pPr>
              <w:rPr>
                <w:rFonts w:ascii="Arial" w:hAnsi="Arial" w:cs="Arial"/>
                <w:sz w:val="20"/>
                <w:szCs w:val="20"/>
              </w:rPr>
            </w:pPr>
            <w:r w:rsidRPr="00F13E0A">
              <w:rPr>
                <w:rFonts w:ascii="Arial" w:hAnsi="Arial" w:cs="Arial"/>
                <w:sz w:val="20"/>
                <w:szCs w:val="20"/>
              </w:rPr>
              <w:t>Media dei punteggi attribuiti da ogni singolo Commissario</w:t>
            </w:r>
          </w:p>
        </w:tc>
        <w:tc>
          <w:tcPr>
            <w:tcW w:w="1417" w:type="dxa"/>
            <w:tcMar>
              <w:top w:w="113" w:type="dxa"/>
              <w:bottom w:w="113" w:type="dxa"/>
            </w:tcMar>
            <w:vAlign w:val="center"/>
          </w:tcPr>
          <w:p w:rsidR="00D402DF" w:rsidRPr="00F13E0A" w:rsidRDefault="001412A7" w:rsidP="00D402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E0A">
              <w:rPr>
                <w:rFonts w:ascii="Arial" w:hAnsi="Arial" w:cs="Arial"/>
                <w:sz w:val="20"/>
                <w:szCs w:val="20"/>
              </w:rPr>
              <w:t>Punt</w:t>
            </w:r>
            <w:r w:rsidR="00F13E0A" w:rsidRPr="00F13E0A">
              <w:rPr>
                <w:rFonts w:ascii="Arial" w:hAnsi="Arial" w:cs="Arial"/>
                <w:sz w:val="20"/>
                <w:szCs w:val="20"/>
              </w:rPr>
              <w:t>i</w:t>
            </w:r>
            <w:r w:rsidR="006E70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28ED">
              <w:rPr>
                <w:rFonts w:ascii="Arial" w:hAnsi="Arial" w:cs="Arial"/>
                <w:sz w:val="20"/>
                <w:szCs w:val="20"/>
              </w:rPr>
              <w:t>4</w:t>
            </w:r>
            <w:r w:rsidRPr="00F13E0A">
              <w:rPr>
                <w:rFonts w:ascii="Arial" w:hAnsi="Arial" w:cs="Arial"/>
                <w:sz w:val="20"/>
                <w:szCs w:val="20"/>
              </w:rPr>
              <w:t xml:space="preserve">, 7 e 9 </w:t>
            </w:r>
            <w:r w:rsidR="00F13E0A" w:rsidRPr="00F13E0A">
              <w:rPr>
                <w:rFonts w:ascii="Arial" w:hAnsi="Arial" w:cs="Arial"/>
                <w:sz w:val="20"/>
                <w:szCs w:val="20"/>
              </w:rPr>
              <w:t>dell’</w:t>
            </w:r>
            <w:r w:rsidRPr="00F13E0A">
              <w:rPr>
                <w:rFonts w:ascii="Arial" w:hAnsi="Arial" w:cs="Arial"/>
                <w:sz w:val="20"/>
                <w:szCs w:val="20"/>
              </w:rPr>
              <w:t>Avviso</w:t>
            </w:r>
          </w:p>
        </w:tc>
      </w:tr>
      <w:tr w:rsidR="00F13E0A" w:rsidRPr="00F13E0A" w:rsidTr="00F13E0A">
        <w:trPr>
          <w:trHeight w:val="454"/>
        </w:trPr>
        <w:tc>
          <w:tcPr>
            <w:tcW w:w="1696" w:type="dxa"/>
            <w:vMerge w:val="restart"/>
            <w:tcMar>
              <w:top w:w="113" w:type="dxa"/>
              <w:bottom w:w="113" w:type="dxa"/>
            </w:tcMar>
            <w:vAlign w:val="center"/>
          </w:tcPr>
          <w:p w:rsidR="00F13E0A" w:rsidRPr="00F13E0A" w:rsidRDefault="00F13E0A" w:rsidP="00F13E0A">
            <w:pPr>
              <w:pStyle w:val="Paragrafoelenco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  <w:sz w:val="20"/>
                <w:szCs w:val="20"/>
              </w:rPr>
            </w:pPr>
            <w:r w:rsidRPr="00F13E0A">
              <w:rPr>
                <w:rFonts w:ascii="Arial" w:hAnsi="Arial" w:cs="Arial"/>
                <w:sz w:val="20"/>
                <w:szCs w:val="20"/>
              </w:rPr>
              <w:t>Qualità e coerenza della proposta</w:t>
            </w:r>
          </w:p>
        </w:tc>
        <w:tc>
          <w:tcPr>
            <w:tcW w:w="993" w:type="dxa"/>
            <w:tcMar>
              <w:top w:w="113" w:type="dxa"/>
              <w:bottom w:w="113" w:type="dxa"/>
            </w:tcMar>
            <w:vAlign w:val="center"/>
          </w:tcPr>
          <w:p w:rsidR="00F13E0A" w:rsidRPr="00F13E0A" w:rsidRDefault="00F13E0A" w:rsidP="00141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976" w:type="dxa"/>
            <w:tcMar>
              <w:top w:w="113" w:type="dxa"/>
              <w:bottom w:w="113" w:type="dxa"/>
            </w:tcMar>
            <w:vAlign w:val="center"/>
          </w:tcPr>
          <w:p w:rsidR="00F13E0A" w:rsidRPr="00F13E0A" w:rsidRDefault="00F13E0A" w:rsidP="001412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Qualità e coerenza della proposta con l’idea progettuale descritta a</w:t>
            </w:r>
            <w:r w:rsidR="005428ED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punt</w:t>
            </w:r>
            <w:r w:rsidR="005428ED">
              <w:rPr>
                <w:rFonts w:ascii="Arial" w:hAnsi="Arial" w:cs="Arial"/>
                <w:sz w:val="20"/>
                <w:szCs w:val="20"/>
              </w:rPr>
              <w:t>i1 dell’Avviso</w:t>
            </w:r>
          </w:p>
        </w:tc>
        <w:tc>
          <w:tcPr>
            <w:tcW w:w="851" w:type="dxa"/>
            <w:tcMar>
              <w:top w:w="113" w:type="dxa"/>
              <w:bottom w:w="113" w:type="dxa"/>
            </w:tcMar>
            <w:vAlign w:val="center"/>
          </w:tcPr>
          <w:p w:rsidR="00F13E0A" w:rsidRPr="00F13E0A" w:rsidRDefault="00F13E0A" w:rsidP="00141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13" w:type="dxa"/>
              <w:bottom w:w="113" w:type="dxa"/>
            </w:tcMar>
            <w:vAlign w:val="center"/>
          </w:tcPr>
          <w:p w:rsidR="00F13E0A" w:rsidRPr="00F13E0A" w:rsidRDefault="00F13E0A" w:rsidP="001412A7">
            <w:pPr>
              <w:rPr>
                <w:rFonts w:ascii="Arial" w:hAnsi="Arial" w:cs="Arial"/>
                <w:sz w:val="20"/>
                <w:szCs w:val="20"/>
              </w:rPr>
            </w:pPr>
            <w:r w:rsidRPr="00F13E0A">
              <w:rPr>
                <w:rFonts w:ascii="Arial" w:hAnsi="Arial" w:cs="Arial"/>
                <w:sz w:val="20"/>
                <w:szCs w:val="20"/>
              </w:rPr>
              <w:t>Media dei punteggi attribuiti da ogni singolo Commissario</w:t>
            </w:r>
          </w:p>
        </w:tc>
        <w:tc>
          <w:tcPr>
            <w:tcW w:w="1417" w:type="dxa"/>
            <w:tcMar>
              <w:top w:w="113" w:type="dxa"/>
              <w:bottom w:w="113" w:type="dxa"/>
            </w:tcMar>
            <w:vAlign w:val="center"/>
          </w:tcPr>
          <w:p w:rsidR="00F13E0A" w:rsidRPr="00F13E0A" w:rsidRDefault="005428ED" w:rsidP="00141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Allegato A</w:t>
            </w:r>
          </w:p>
        </w:tc>
      </w:tr>
      <w:tr w:rsidR="00F13E0A" w:rsidRPr="00F13E0A" w:rsidTr="00F13E0A">
        <w:trPr>
          <w:trHeight w:val="454"/>
        </w:trPr>
        <w:tc>
          <w:tcPr>
            <w:tcW w:w="1696" w:type="dxa"/>
            <w:vMerge/>
            <w:tcMar>
              <w:top w:w="113" w:type="dxa"/>
              <w:bottom w:w="113" w:type="dxa"/>
            </w:tcMar>
            <w:vAlign w:val="center"/>
          </w:tcPr>
          <w:p w:rsidR="00F13E0A" w:rsidRPr="00F13E0A" w:rsidRDefault="00F13E0A" w:rsidP="00141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113" w:type="dxa"/>
              <w:bottom w:w="113" w:type="dxa"/>
            </w:tcMar>
            <w:vAlign w:val="center"/>
          </w:tcPr>
          <w:p w:rsidR="00F13E0A" w:rsidRPr="00F13E0A" w:rsidRDefault="00F13E0A" w:rsidP="00141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976" w:type="dxa"/>
            <w:tcMar>
              <w:top w:w="113" w:type="dxa"/>
              <w:bottom w:w="113" w:type="dxa"/>
            </w:tcMar>
            <w:vAlign w:val="center"/>
          </w:tcPr>
          <w:p w:rsidR="00F13E0A" w:rsidRPr="00F13E0A" w:rsidRDefault="005428ED" w:rsidP="001412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Efficace dimostrazione del carattere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innovatività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livello europeo</w:t>
            </w:r>
          </w:p>
        </w:tc>
        <w:tc>
          <w:tcPr>
            <w:tcW w:w="851" w:type="dxa"/>
            <w:tcMar>
              <w:top w:w="113" w:type="dxa"/>
              <w:bottom w:w="113" w:type="dxa"/>
            </w:tcMar>
            <w:vAlign w:val="center"/>
          </w:tcPr>
          <w:p w:rsidR="00F13E0A" w:rsidRPr="00F13E0A" w:rsidRDefault="00F13E0A" w:rsidP="00141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13" w:type="dxa"/>
              <w:bottom w:w="113" w:type="dxa"/>
            </w:tcMar>
            <w:vAlign w:val="center"/>
          </w:tcPr>
          <w:p w:rsidR="00F13E0A" w:rsidRPr="00F13E0A" w:rsidRDefault="00F13E0A" w:rsidP="001412A7">
            <w:pPr>
              <w:rPr>
                <w:rFonts w:ascii="Arial" w:hAnsi="Arial" w:cs="Arial"/>
                <w:sz w:val="20"/>
                <w:szCs w:val="20"/>
              </w:rPr>
            </w:pPr>
            <w:r w:rsidRPr="00F13E0A">
              <w:rPr>
                <w:rFonts w:ascii="Arial" w:hAnsi="Arial" w:cs="Arial"/>
                <w:sz w:val="20"/>
                <w:szCs w:val="20"/>
              </w:rPr>
              <w:t>Media dei punteggi attribuiti da ogni singolo Commissario</w:t>
            </w:r>
          </w:p>
        </w:tc>
        <w:tc>
          <w:tcPr>
            <w:tcW w:w="1417" w:type="dxa"/>
            <w:tcMar>
              <w:top w:w="113" w:type="dxa"/>
              <w:bottom w:w="113" w:type="dxa"/>
            </w:tcMar>
            <w:vAlign w:val="center"/>
          </w:tcPr>
          <w:p w:rsidR="00F13E0A" w:rsidRPr="00F13E0A" w:rsidRDefault="005428ED" w:rsidP="00141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Allegato A</w:t>
            </w:r>
          </w:p>
        </w:tc>
      </w:tr>
      <w:tr w:rsidR="00F13E0A" w:rsidRPr="00F13E0A" w:rsidTr="005428ED">
        <w:trPr>
          <w:trHeight w:val="454"/>
        </w:trPr>
        <w:tc>
          <w:tcPr>
            <w:tcW w:w="1696" w:type="dxa"/>
            <w:vMerge/>
            <w:tcMar>
              <w:top w:w="113" w:type="dxa"/>
              <w:bottom w:w="113" w:type="dxa"/>
            </w:tcMar>
            <w:vAlign w:val="center"/>
          </w:tcPr>
          <w:p w:rsidR="00F13E0A" w:rsidRPr="00F13E0A" w:rsidRDefault="00F13E0A" w:rsidP="00141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113" w:type="dxa"/>
              <w:bottom w:w="113" w:type="dxa"/>
            </w:tcMar>
            <w:vAlign w:val="center"/>
          </w:tcPr>
          <w:p w:rsidR="00F13E0A" w:rsidRDefault="00F13E0A" w:rsidP="00141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F13E0A" w:rsidRPr="00F13E0A" w:rsidRDefault="00F13E0A" w:rsidP="00141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Mar>
              <w:top w:w="113" w:type="dxa"/>
              <w:bottom w:w="113" w:type="dxa"/>
            </w:tcMar>
            <w:vAlign w:val="center"/>
          </w:tcPr>
          <w:p w:rsidR="00F13E0A" w:rsidRPr="00F13E0A" w:rsidRDefault="005428ED" w:rsidP="001E6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Possibilità di trasferibilità futura delle soluzioni o del modello proposto ad altri contesti urbani </w:t>
            </w:r>
          </w:p>
        </w:tc>
        <w:tc>
          <w:tcPr>
            <w:tcW w:w="851" w:type="dxa"/>
            <w:tcMar>
              <w:top w:w="113" w:type="dxa"/>
              <w:bottom w:w="113" w:type="dxa"/>
            </w:tcMar>
            <w:vAlign w:val="center"/>
          </w:tcPr>
          <w:p w:rsidR="00F13E0A" w:rsidRPr="00F13E0A" w:rsidRDefault="00F13E0A" w:rsidP="00141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F13E0A" w:rsidRPr="00F13E0A" w:rsidRDefault="00F13E0A" w:rsidP="001412A7">
            <w:pPr>
              <w:rPr>
                <w:rFonts w:ascii="Arial" w:hAnsi="Arial" w:cs="Arial"/>
                <w:sz w:val="20"/>
                <w:szCs w:val="20"/>
              </w:rPr>
            </w:pPr>
            <w:r w:rsidRPr="00F13E0A">
              <w:rPr>
                <w:rFonts w:ascii="Arial" w:hAnsi="Arial" w:cs="Arial"/>
                <w:sz w:val="20"/>
                <w:szCs w:val="20"/>
              </w:rPr>
              <w:t>Media dei punteggi attribuiti da ogni singolo Commissario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F13E0A" w:rsidRPr="00F13E0A" w:rsidRDefault="005428ED" w:rsidP="00141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Allegato A</w:t>
            </w:r>
          </w:p>
        </w:tc>
      </w:tr>
      <w:tr w:rsidR="005428ED" w:rsidRPr="00F13E0A" w:rsidTr="005428ED">
        <w:trPr>
          <w:trHeight w:val="454"/>
        </w:trPr>
        <w:tc>
          <w:tcPr>
            <w:tcW w:w="1696" w:type="dxa"/>
            <w:vMerge/>
            <w:tcMar>
              <w:top w:w="113" w:type="dxa"/>
              <w:bottom w:w="113" w:type="dxa"/>
            </w:tcMar>
            <w:vAlign w:val="center"/>
          </w:tcPr>
          <w:p w:rsidR="00F13E0A" w:rsidRPr="00F13E0A" w:rsidRDefault="00F13E0A" w:rsidP="00141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113" w:type="dxa"/>
              <w:bottom w:w="113" w:type="dxa"/>
            </w:tcMar>
            <w:vAlign w:val="center"/>
          </w:tcPr>
          <w:p w:rsidR="00F13E0A" w:rsidRPr="00F13E0A" w:rsidRDefault="00F13E0A" w:rsidP="00141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976" w:type="dxa"/>
            <w:tcMar>
              <w:top w:w="113" w:type="dxa"/>
              <w:bottom w:w="113" w:type="dxa"/>
            </w:tcMar>
            <w:vAlign w:val="center"/>
          </w:tcPr>
          <w:p w:rsidR="00F13E0A" w:rsidRPr="00F13E0A" w:rsidRDefault="005428ED" w:rsidP="001E6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Valutazione della proposta in termini di risultati attesi</w:t>
            </w:r>
          </w:p>
        </w:tc>
        <w:tc>
          <w:tcPr>
            <w:tcW w:w="851" w:type="dxa"/>
            <w:tcMar>
              <w:top w:w="113" w:type="dxa"/>
              <w:bottom w:w="113" w:type="dxa"/>
            </w:tcMar>
            <w:vAlign w:val="center"/>
          </w:tcPr>
          <w:p w:rsidR="00F13E0A" w:rsidRPr="00F13E0A" w:rsidRDefault="00F13E0A" w:rsidP="00141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F13E0A" w:rsidRPr="00F13E0A" w:rsidRDefault="00F13E0A" w:rsidP="001412A7">
            <w:pPr>
              <w:rPr>
                <w:rFonts w:ascii="Arial" w:hAnsi="Arial" w:cs="Arial"/>
                <w:sz w:val="20"/>
                <w:szCs w:val="20"/>
              </w:rPr>
            </w:pPr>
            <w:r w:rsidRPr="00F13E0A">
              <w:rPr>
                <w:rFonts w:ascii="Arial" w:hAnsi="Arial" w:cs="Arial"/>
                <w:sz w:val="20"/>
                <w:szCs w:val="20"/>
              </w:rPr>
              <w:t>Media dei punteggi attribuiti da ogni singolo Commissario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F13E0A" w:rsidRPr="00F13E0A" w:rsidRDefault="005428ED" w:rsidP="00141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Allegato A</w:t>
            </w:r>
          </w:p>
        </w:tc>
      </w:tr>
      <w:tr w:rsidR="00F13E0A" w:rsidRPr="00F13E0A" w:rsidTr="005428ED">
        <w:trPr>
          <w:trHeight w:val="454"/>
        </w:trPr>
        <w:tc>
          <w:tcPr>
            <w:tcW w:w="1696" w:type="dxa"/>
            <w:tcMar>
              <w:top w:w="113" w:type="dxa"/>
              <w:bottom w:w="113" w:type="dxa"/>
            </w:tcMar>
            <w:vAlign w:val="center"/>
          </w:tcPr>
          <w:p w:rsidR="001412A7" w:rsidRPr="005428ED" w:rsidRDefault="005428ED" w:rsidP="001412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8ED">
              <w:rPr>
                <w:rFonts w:ascii="Arial" w:hAnsi="Arial" w:cs="Arial"/>
                <w:b/>
                <w:sz w:val="20"/>
                <w:szCs w:val="20"/>
              </w:rPr>
              <w:t>Punteggio massimo complessivo</w:t>
            </w:r>
          </w:p>
        </w:tc>
        <w:tc>
          <w:tcPr>
            <w:tcW w:w="993" w:type="dxa"/>
            <w:tcMar>
              <w:top w:w="113" w:type="dxa"/>
              <w:bottom w:w="113" w:type="dxa"/>
            </w:tcMar>
            <w:vAlign w:val="center"/>
          </w:tcPr>
          <w:p w:rsidR="001412A7" w:rsidRPr="005428ED" w:rsidRDefault="005428ED" w:rsidP="001412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8ED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2976" w:type="dxa"/>
            <w:tcMar>
              <w:top w:w="113" w:type="dxa"/>
              <w:bottom w:w="113" w:type="dxa"/>
            </w:tcMar>
            <w:vAlign w:val="center"/>
          </w:tcPr>
          <w:p w:rsidR="001412A7" w:rsidRPr="005428ED" w:rsidRDefault="001412A7" w:rsidP="001412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Mar>
              <w:top w:w="113" w:type="dxa"/>
              <w:bottom w:w="113" w:type="dxa"/>
            </w:tcMar>
            <w:vAlign w:val="center"/>
          </w:tcPr>
          <w:p w:rsidR="001412A7" w:rsidRPr="005428ED" w:rsidRDefault="005428ED" w:rsidP="001412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8E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1412A7" w:rsidRPr="00F13E0A" w:rsidRDefault="001412A7" w:rsidP="001412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1412A7" w:rsidRPr="00F13E0A" w:rsidRDefault="001412A7" w:rsidP="00141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080A" w:rsidRPr="006B080A" w:rsidRDefault="006B080A" w:rsidP="006B080A">
      <w:pPr>
        <w:jc w:val="both"/>
        <w:rPr>
          <w:rFonts w:ascii="Arial" w:hAnsi="Arial" w:cs="Arial"/>
          <w:sz w:val="20"/>
        </w:rPr>
      </w:pPr>
    </w:p>
    <w:sectPr w:rsidR="006B080A" w:rsidRPr="006B080A" w:rsidSect="00F13E0A">
      <w:headerReference w:type="default" r:id="rId8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A62" w:rsidRDefault="00C35A62" w:rsidP="00063FC4">
      <w:pPr>
        <w:spacing w:after="0" w:line="240" w:lineRule="auto"/>
      </w:pPr>
      <w:r>
        <w:separator/>
      </w:r>
    </w:p>
  </w:endnote>
  <w:endnote w:type="continuationSeparator" w:id="1">
    <w:p w:rsidR="00C35A62" w:rsidRDefault="00C35A62" w:rsidP="00063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A62" w:rsidRDefault="00C35A62" w:rsidP="00063FC4">
      <w:pPr>
        <w:spacing w:after="0" w:line="240" w:lineRule="auto"/>
      </w:pPr>
      <w:r>
        <w:separator/>
      </w:r>
    </w:p>
  </w:footnote>
  <w:footnote w:type="continuationSeparator" w:id="1">
    <w:p w:rsidR="00C35A62" w:rsidRDefault="00C35A62" w:rsidP="00063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FC4" w:rsidRPr="00AF4C12" w:rsidRDefault="00063FC4" w:rsidP="00063FC4">
    <w:pPr>
      <w:pStyle w:val="Intestazione"/>
      <w:jc w:val="right"/>
      <w:rPr>
        <w:rFonts w:ascii="Arial" w:hAnsi="Arial" w:cs="Arial"/>
        <w:sz w:val="18"/>
      </w:rPr>
    </w:pPr>
    <w:r w:rsidRPr="00AF4C12">
      <w:rPr>
        <w:rFonts w:ascii="Arial" w:hAnsi="Arial" w:cs="Arial"/>
        <w:sz w:val="18"/>
      </w:rPr>
      <w:t xml:space="preserve">ALLEGATO </w:t>
    </w:r>
    <w:r>
      <w:rPr>
        <w:rFonts w:ascii="Arial" w:hAnsi="Arial" w:cs="Arial"/>
        <w:sz w:val="18"/>
      </w:rPr>
      <w:t>B</w:t>
    </w:r>
  </w:p>
  <w:p w:rsidR="00063FC4" w:rsidRDefault="00063FC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8087D"/>
    <w:multiLevelType w:val="hybridMultilevel"/>
    <w:tmpl w:val="E66EAC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80A"/>
    <w:rsid w:val="00063FC4"/>
    <w:rsid w:val="001412A7"/>
    <w:rsid w:val="0014164E"/>
    <w:rsid w:val="001E6069"/>
    <w:rsid w:val="005428ED"/>
    <w:rsid w:val="006B080A"/>
    <w:rsid w:val="006E708C"/>
    <w:rsid w:val="007B268D"/>
    <w:rsid w:val="008861A1"/>
    <w:rsid w:val="008953F3"/>
    <w:rsid w:val="008A33C3"/>
    <w:rsid w:val="00915440"/>
    <w:rsid w:val="00A34ED6"/>
    <w:rsid w:val="00C35A62"/>
    <w:rsid w:val="00CB6F7D"/>
    <w:rsid w:val="00D402DF"/>
    <w:rsid w:val="00F13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53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B0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08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412A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63F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3FC4"/>
  </w:style>
  <w:style w:type="paragraph" w:styleId="Pidipagina">
    <w:name w:val="footer"/>
    <w:basedOn w:val="Normale"/>
    <w:link w:val="PidipaginaCarattere"/>
    <w:uiPriority w:val="99"/>
    <w:unhideWhenUsed/>
    <w:rsid w:val="00063F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3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Amapola Progetti</dc:creator>
  <cp:lastModifiedBy>b006537</cp:lastModifiedBy>
  <cp:revision>3</cp:revision>
  <dcterms:created xsi:type="dcterms:W3CDTF">2019-01-07T13:50:00Z</dcterms:created>
  <dcterms:modified xsi:type="dcterms:W3CDTF">2019-01-07T14:57:00Z</dcterms:modified>
</cp:coreProperties>
</file>